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b/>
          <w:bCs/>
          <w:sz w:val="30"/>
          <w:szCs w:val="30"/>
        </w:rPr>
        <w:t>编 制 说 明</w:t>
      </w:r>
    </w:p>
    <w:p>
      <w:pPr>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工程名称：</w:t>
      </w:r>
      <w:r>
        <w:rPr>
          <w:rFonts w:hint="eastAsia" w:asciiTheme="minorEastAsia" w:hAnsiTheme="minorEastAsia" w:cstheme="minorEastAsia"/>
          <w:sz w:val="24"/>
          <w:szCs w:val="24"/>
          <w:lang w:eastAsia="zh-CN"/>
        </w:rPr>
        <w:t>金可达商务楼附属楼外墙等改造工程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一、工程概况</w:t>
      </w:r>
    </w:p>
    <w:p>
      <w:pPr>
        <w:rPr>
          <w:rFonts w:hint="default"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建设规模：本工程为于浙江省温州市，本工程为改造项目，</w:t>
      </w:r>
      <w:r>
        <w:rPr>
          <w:rFonts w:hint="eastAsia" w:asciiTheme="minorEastAsia" w:hAnsiTheme="minorEastAsia" w:cstheme="minorEastAsia"/>
          <w:sz w:val="24"/>
          <w:szCs w:val="24"/>
          <w:lang w:val="en-US" w:eastAsia="zh-CN"/>
        </w:rPr>
        <w:t>具体内容为外墙面改造及隔油池新建。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二、工程量清单编制依据：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《建设工程工程量清单计价规范》（GB50500-2013）</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《浙江省建筑工程预算定额（2018版）》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《浙江省安装工程预算定额（2018版）》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《浙江省市政工程预算定额（2018版）》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《浙江省建设工程计价规则（2018版）》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《浙江省施工机械台班费用参考单价（2018版）》</w:t>
      </w:r>
      <w:bookmarkStart w:id="0" w:name="_GoBack"/>
      <w:bookmarkEnd w:id="0"/>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《浙江省建设工程施工费用定额（2018版）》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《浙江省建筑安装工程修缮预算定额（2018版）》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月份《温州工程造价信息》】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按温住建发【2011】219号文件关于人工费的调整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按温住建发【2014】100号关于建设工程部分施工费用费率调整的通知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建建发〔2015〕517号关于规范建设工程安全文明施工费计取的通知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温住建发〔2016〕58号转发关于规范建设工程安全文明施工费计取的通知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建建发[2016]144号关于建筑业实施营改增后浙江省建设工程计价规则调整的通知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温住建发[2016]87号温州市住建委转发关于建筑业实施营改增后浙江省建设工程计价规则、施工取费费率及工程材料价格信息发布调整的通知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浙建站定[2016]23号关于发布营改增后浙江省建设工程施工取费费率的通知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浙建站信[2016]25号关于营改增后浙江省建设工程材料价格信息发布工作调整的通知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浙建站定[2016]35号关于调整浙江省建设工程造价税金费率的通知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其他与造价有关的政策规定</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三、清单编制说明：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【统一部分】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1.本清单描述与设计不同的按本清单，本清单没有具体描述的工作内容和做法均按《GB50500-2013》规范和设计要求。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2.本说明不做为施工的最后依据，具体施工时，由建设单位、施工单位、设计单位、监理单位及有关主管单位经过会审后方可施工。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3.对于本工程的个别节点做法，本清单只描述了主要要素，投标单位需根据设计图纸全面考虑并包含在主要工程量清单报价内。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4.除清单中注明用途外的预埋铁件，未单列的均包含在其所依附的主要项目内，合并在该项综合单价中报价。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5.清单中项目特征如有描述不清处请各投标单位应结合施工图纸报价，综合单价应包括完成该项目所需的所有费用。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6.工程量清单和施工图设计要求所涉及颜色、规格的项目或材料，其最终采用何种颜色及规格由建设单位确定，由此增加的费用投标单位均在各工程量清单项目的综合报价中考虑。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7.所有钢构件采用热镀锌，并做抛丸除锈处理，投标单位自行考虑在报价内。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8.吊顶高度超过规定要求需做反支撑，吊顶基层加固需做钢结构加固以及石膏板隔墙伸至梁板底需做检修门、检修口及吊顶检修口的费用投标单位需考虑在相关项目的报价内。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9.清单中未列出的措施费项目，施工单位根据图纸结合施工现场在其他施工技术措施费综合考虑。</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10.本工程采用预拌砂浆</w:t>
      </w:r>
    </w:p>
    <w:p>
      <w:pPr>
        <w:ind w:firstLine="241" w:firstLineChars="10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【装饰部分】</w:t>
      </w:r>
    </w:p>
    <w:p>
      <w:pPr>
        <w:pStyle w:val="2"/>
        <w:numPr>
          <w:ilvl w:val="0"/>
          <w:numId w:val="1"/>
        </w:numPr>
        <w:ind w:left="0" w:leftChars="0" w:firstLine="0" w:firstLineChars="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外墙工程量含女儿墙内侧部分，工程量结算时按实调整</w:t>
      </w:r>
    </w:p>
    <w:p>
      <w:pPr>
        <w:pStyle w:val="2"/>
        <w:numPr>
          <w:ilvl w:val="0"/>
          <w:numId w:val="1"/>
        </w:numPr>
        <w:ind w:left="0" w:leftChars="0" w:firstLine="0" w:firstLineChars="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底漆、真石漆、多彩、罩光漆用量标准按中级防真考虑</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底漆用量</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0.12-0.15kg/m2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，真石漆用量（喷涂型）</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3.5-4.5kg/m2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，多彩主材用量</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0.35-0.45kg/m2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，罩面漆用量</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0.1-0.12kg/m2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，真石漆涂抹厚度约</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1.75-2.25mm</w:t>
      </w:r>
    </w:p>
    <w:p>
      <w:pPr>
        <w:pStyle w:val="2"/>
        <w:numPr>
          <w:ilvl w:val="0"/>
          <w:numId w:val="1"/>
        </w:numPr>
        <w:ind w:left="0" w:leftChars="0" w:firstLine="0" w:firstLineChars="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原外墙破损部位铲除并基层处理修复后挂腻子</w:t>
      </w:r>
      <w:r>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遍，原外墙未破损部位直接做底漆、真石漆、多彩、罩光漆</w:t>
      </w:r>
    </w:p>
    <w:p>
      <w:pPr>
        <w:pStyle w:val="2"/>
        <w:numPr>
          <w:ilvl w:val="0"/>
          <w:numId w:val="1"/>
        </w:numPr>
        <w:ind w:left="0" w:leftChars="0" w:firstLine="0" w:firstLineChars="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暂列金额按14000元计入</w:t>
      </w:r>
    </w:p>
    <w:p>
      <w:pPr>
        <w:pStyle w:val="2"/>
        <w:numPr>
          <w:ilvl w:val="0"/>
          <w:numId w:val="1"/>
        </w:numPr>
        <w:ind w:left="0" w:leftChars="0" w:firstLine="0" w:firstLineChars="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招标代理费按6200元计入</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cstheme="minorEastAsia"/>
          <w:b/>
          <w:bCs/>
          <w:sz w:val="24"/>
          <w:szCs w:val="24"/>
          <w:lang w:val="en-US" w:eastAsia="zh-CN"/>
        </w:rPr>
        <w:t>室外</w:t>
      </w:r>
      <w:r>
        <w:rPr>
          <w:rFonts w:hint="eastAsia" w:asciiTheme="minorEastAsia" w:hAnsiTheme="minorEastAsia" w:eastAsiaTheme="minorEastAsia" w:cstheme="minorEastAsia"/>
          <w:b/>
          <w:bCs/>
          <w:sz w:val="24"/>
          <w:szCs w:val="24"/>
        </w:rPr>
        <w:t>部分】</w:t>
      </w:r>
    </w:p>
    <w:p>
      <w:pPr>
        <w:pStyle w:val="2"/>
        <w:numPr>
          <w:ilvl w:val="0"/>
          <w:numId w:val="2"/>
        </w:numPr>
        <w:ind w:left="0" w:leftChars="0" w:firstLine="0" w:firstLineChars="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污水管暂按8m计入</w:t>
      </w:r>
    </w:p>
    <w:p>
      <w:pPr>
        <w:pStyle w:val="2"/>
        <w:numPr>
          <w:ilvl w:val="0"/>
          <w:numId w:val="2"/>
        </w:numPr>
        <w:ind w:left="0" w:leftChars="0" w:firstLine="0" w:firstLineChars="0"/>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花岗岩路面暂按2m2计入</w:t>
      </w:r>
    </w:p>
    <w:p>
      <w:pPr>
        <w:pStyle w:val="2"/>
        <w:numPr>
          <w:ilvl w:val="0"/>
          <w:numId w:val="2"/>
        </w:numPr>
        <w:ind w:left="0" w:leftChars="0" w:firstLine="0" w:firstLineChars="0"/>
        <w:rPr>
          <w:rFonts w:hint="default" w:asciiTheme="minorEastAsia" w:hAnsiTheme="minorEastAsia" w:eastAsiaTheme="minorEastAsia" w:cstheme="minorEastAsia"/>
          <w:b w:val="0"/>
          <w:bCs w:val="0"/>
          <w:sz w:val="24"/>
          <w:szCs w:val="24"/>
          <w:lang w:val="en-US" w:eastAsia="zh-CN"/>
        </w:rPr>
      </w:pPr>
      <w:r>
        <w:rPr>
          <w:rFonts w:hint="default" w:asciiTheme="minorEastAsia" w:hAnsiTheme="minorEastAsia" w:eastAsiaTheme="minorEastAsia" w:cstheme="minorEastAsia"/>
          <w:b w:val="0"/>
          <w:bCs w:val="0"/>
          <w:sz w:val="24"/>
          <w:szCs w:val="24"/>
          <w:lang w:val="en-US" w:eastAsia="zh-CN"/>
        </w:rPr>
        <w:t>电线套管</w:t>
      </w:r>
      <w:r>
        <w:rPr>
          <w:rFonts w:hint="eastAsia" w:asciiTheme="minorEastAsia" w:hAnsiTheme="minorEastAsia" w:eastAsiaTheme="minorEastAsia" w:cstheme="minorEastAsia"/>
          <w:b w:val="0"/>
          <w:bCs w:val="0"/>
          <w:sz w:val="24"/>
          <w:szCs w:val="24"/>
          <w:lang w:val="en-US" w:eastAsia="zh-CN"/>
        </w:rPr>
        <w:t>暂按30m计入</w:t>
      </w:r>
    </w:p>
    <w:p>
      <w:pPr>
        <w:pStyle w:val="2"/>
        <w:numPr>
          <w:ilvl w:val="0"/>
          <w:numId w:val="2"/>
        </w:numPr>
        <w:ind w:left="0" w:leftChars="0" w:firstLine="0" w:firstLineChars="0"/>
        <w:rPr>
          <w:rFonts w:hint="default" w:asciiTheme="minorEastAsia" w:hAnsiTheme="minorEastAsia" w:eastAsiaTheme="minorEastAsia" w:cstheme="minorEastAsia"/>
          <w:b w:val="0"/>
          <w:bCs w:val="0"/>
          <w:sz w:val="24"/>
          <w:szCs w:val="24"/>
          <w:lang w:val="en-US" w:eastAsia="zh-CN"/>
        </w:rPr>
      </w:pPr>
      <w:r>
        <w:rPr>
          <w:rFonts w:hint="default" w:asciiTheme="minorEastAsia" w:hAnsiTheme="minorEastAsia" w:eastAsiaTheme="minorEastAsia" w:cstheme="minorEastAsia"/>
          <w:b w:val="0"/>
          <w:bCs w:val="0"/>
          <w:sz w:val="24"/>
          <w:szCs w:val="24"/>
          <w:lang w:val="en-US" w:eastAsia="zh-CN"/>
        </w:rPr>
        <w:t>配线</w:t>
      </w:r>
      <w:r>
        <w:rPr>
          <w:rFonts w:hint="eastAsia" w:asciiTheme="minorEastAsia" w:hAnsiTheme="minorEastAsia" w:eastAsiaTheme="minorEastAsia" w:cstheme="minorEastAsia"/>
          <w:b w:val="0"/>
          <w:bCs w:val="0"/>
          <w:sz w:val="24"/>
          <w:szCs w:val="24"/>
          <w:lang w:val="en-US" w:eastAsia="zh-CN"/>
        </w:rPr>
        <w:t>暂按100m计入</w:t>
      </w:r>
    </w:p>
    <w:p>
      <w:pPr>
        <w:pStyle w:val="2"/>
        <w:rPr>
          <w:rFonts w:hint="eastAsia" w:asciiTheme="minorEastAsia" w:hAnsiTheme="minorEastAsia" w:eastAsiaTheme="minorEastAsia" w:cstheme="minorEastAsia"/>
          <w:sz w:val="30"/>
          <w:szCs w:val="30"/>
          <w:lang w:val="en-US" w:eastAsia="zh-CN"/>
        </w:rPr>
      </w:pPr>
    </w:p>
    <w:p>
      <w:pPr>
        <w:spacing w:beforeLines="0" w:afterLines="0"/>
        <w:rPr>
          <w:rFonts w:hint="eastAsia"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推荐品牌：</w:t>
      </w:r>
    </w:p>
    <w:p>
      <w:pPr>
        <w:spacing w:beforeLines="0" w:afterLines="0"/>
        <w:rPr>
          <w:rFonts w:hint="eastAsia" w:asciiTheme="minorEastAsia" w:hAnsiTheme="minorEastAsia" w:eastAsiaTheme="minorEastAsia" w:cstheme="minorEastAsia"/>
          <w:b/>
          <w:sz w:val="24"/>
          <w:szCs w:val="24"/>
          <w:lang w:val="zh-CN"/>
        </w:rPr>
      </w:pPr>
    </w:p>
    <w:tbl>
      <w:tblPr>
        <w:tblStyle w:val="4"/>
        <w:tblW w:w="0" w:type="auto"/>
        <w:tblInd w:w="-10" w:type="dxa"/>
        <w:tblBorders>
          <w:top w:val="none" w:color="auto" w:sz="0"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0"/>
        <w:gridCol w:w="710"/>
        <w:gridCol w:w="10"/>
        <w:gridCol w:w="2746"/>
        <w:gridCol w:w="10"/>
        <w:gridCol w:w="4614"/>
        <w:gridCol w:w="10"/>
      </w:tblGrid>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10" w:type="dxa"/>
          <w:trHeight w:val="465" w:hRule="atLeast"/>
        </w:trPr>
        <w:tc>
          <w:tcPr>
            <w:tcW w:w="7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b/>
                <w:kern w:val="0"/>
                <w:sz w:val="24"/>
                <w:szCs w:val="24"/>
                <w:lang w:val="zh-CN"/>
              </w:rPr>
            </w:pPr>
            <w:r>
              <w:rPr>
                <w:rFonts w:hint="eastAsia" w:asciiTheme="minorEastAsia" w:hAnsiTheme="minorEastAsia" w:eastAsiaTheme="minorEastAsia" w:cstheme="minorEastAsia"/>
                <w:b/>
                <w:kern w:val="0"/>
                <w:sz w:val="24"/>
                <w:szCs w:val="24"/>
                <w:lang w:val="zh-CN"/>
              </w:rPr>
              <w:t>序号</w:t>
            </w:r>
          </w:p>
        </w:tc>
        <w:tc>
          <w:tcPr>
            <w:tcW w:w="2756"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b/>
                <w:kern w:val="0"/>
                <w:sz w:val="24"/>
                <w:szCs w:val="24"/>
                <w:lang w:val="zh-CN"/>
              </w:rPr>
            </w:pPr>
            <w:r>
              <w:rPr>
                <w:rFonts w:hint="eastAsia" w:asciiTheme="minorEastAsia" w:hAnsiTheme="minorEastAsia" w:eastAsiaTheme="minorEastAsia" w:cstheme="minorEastAsia"/>
                <w:b/>
                <w:kern w:val="0"/>
                <w:sz w:val="24"/>
                <w:szCs w:val="24"/>
                <w:lang w:val="zh-CN"/>
              </w:rPr>
              <w:t>材料名称</w:t>
            </w:r>
          </w:p>
        </w:tc>
        <w:tc>
          <w:tcPr>
            <w:tcW w:w="4624"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b/>
                <w:kern w:val="0"/>
                <w:sz w:val="24"/>
                <w:szCs w:val="24"/>
                <w:lang w:val="zh-CN"/>
              </w:rPr>
            </w:pPr>
            <w:r>
              <w:rPr>
                <w:rFonts w:hint="eastAsia" w:asciiTheme="minorEastAsia" w:hAnsiTheme="minorEastAsia" w:eastAsiaTheme="minorEastAsia" w:cstheme="minorEastAsia"/>
                <w:b/>
                <w:kern w:val="0"/>
                <w:sz w:val="24"/>
                <w:szCs w:val="24"/>
                <w:lang w:val="zh-CN"/>
              </w:rPr>
              <w:t>品牌/系列</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 w:type="dxa"/>
            <w:bottom w:w="0" w:type="dxa"/>
            <w:right w:w="10" w:type="dxa"/>
          </w:tblCellMar>
        </w:tblPrEx>
        <w:trPr>
          <w:gridAfter w:val="1"/>
          <w:wAfter w:w="10" w:type="dxa"/>
          <w:trHeight w:val="500" w:hRule="atLeast"/>
        </w:trPr>
        <w:tc>
          <w:tcPr>
            <w:tcW w:w="7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b/>
                <w:kern w:val="0"/>
                <w:sz w:val="24"/>
                <w:szCs w:val="24"/>
                <w:lang w:val="zh-CN"/>
              </w:rPr>
            </w:pPr>
          </w:p>
        </w:tc>
        <w:tc>
          <w:tcPr>
            <w:tcW w:w="2756"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left"/>
              <w:rPr>
                <w:rFonts w:hint="eastAsia" w:asciiTheme="minorEastAsia" w:hAnsiTheme="minorEastAsia" w:eastAsiaTheme="minorEastAsia" w:cstheme="minorEastAsia"/>
                <w:b/>
                <w:kern w:val="0"/>
                <w:sz w:val="24"/>
                <w:szCs w:val="24"/>
                <w:lang w:val="zh-CN"/>
              </w:rPr>
            </w:pPr>
            <w:r>
              <w:rPr>
                <w:rFonts w:hint="eastAsia" w:asciiTheme="minorEastAsia" w:hAnsiTheme="minorEastAsia" w:eastAsiaTheme="minorEastAsia" w:cstheme="minorEastAsia"/>
                <w:b/>
                <w:kern w:val="0"/>
                <w:sz w:val="24"/>
                <w:szCs w:val="24"/>
                <w:lang w:val="zh-CN"/>
              </w:rPr>
              <w:t>装饰品牌</w:t>
            </w:r>
          </w:p>
        </w:tc>
        <w:tc>
          <w:tcPr>
            <w:tcW w:w="4624"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Before w:val="1"/>
          <w:wBefore w:w="10" w:type="dxa"/>
          <w:trHeight w:val="500" w:hRule="atLeast"/>
        </w:trPr>
        <w:tc>
          <w:tcPr>
            <w:tcW w:w="7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w:t>
            </w:r>
          </w:p>
        </w:tc>
        <w:tc>
          <w:tcPr>
            <w:tcW w:w="2756"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涂料</w:t>
            </w:r>
          </w:p>
        </w:tc>
        <w:tc>
          <w:tcPr>
            <w:tcW w:w="4624"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立邦/嘉宝莉/</w:t>
            </w:r>
            <w:r>
              <w:rPr>
                <w:rFonts w:hint="eastAsia" w:asciiTheme="minorEastAsia" w:hAnsiTheme="minorEastAsia" w:cstheme="minorEastAsia"/>
                <w:color w:val="000000" w:themeColor="text1"/>
                <w:kern w:val="0"/>
                <w:sz w:val="24"/>
                <w:szCs w:val="24"/>
                <w:lang w:val="en-US" w:eastAsia="zh-CN"/>
                <w14:textFill>
                  <w14:solidFill>
                    <w14:schemeClr w14:val="tx1"/>
                  </w14:solidFill>
                </w14:textFill>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Before w:val="1"/>
          <w:wBefore w:w="10" w:type="dxa"/>
          <w:trHeight w:val="500" w:hRule="atLeast"/>
        </w:trPr>
        <w:tc>
          <w:tcPr>
            <w:tcW w:w="7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kern w:val="0"/>
                <w:sz w:val="24"/>
                <w:szCs w:val="24"/>
                <w:lang w:val="zh-CN"/>
              </w:rPr>
            </w:pPr>
          </w:p>
        </w:tc>
        <w:tc>
          <w:tcPr>
            <w:tcW w:w="2756"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both"/>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b/>
                <w:bCs/>
                <w:kern w:val="0"/>
                <w:sz w:val="24"/>
                <w:szCs w:val="24"/>
                <w:lang w:val="en-US" w:eastAsia="zh-CN"/>
              </w:rPr>
              <w:t>安装品牌</w:t>
            </w:r>
          </w:p>
        </w:tc>
        <w:tc>
          <w:tcPr>
            <w:tcW w:w="4624"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color w:val="0000FF"/>
                <w:kern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Before w:val="1"/>
          <w:wBefore w:w="10" w:type="dxa"/>
          <w:trHeight w:val="500" w:hRule="atLeast"/>
        </w:trPr>
        <w:tc>
          <w:tcPr>
            <w:tcW w:w="7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1</w:t>
            </w:r>
          </w:p>
        </w:tc>
        <w:tc>
          <w:tcPr>
            <w:tcW w:w="2756"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color w:val="auto"/>
                <w:kern w:val="0"/>
                <w:sz w:val="24"/>
                <w:szCs w:val="24"/>
                <w:lang w:val="zh-CN" w:eastAsia="zh-CN" w:bidi="ar-SA"/>
              </w:rPr>
            </w:pPr>
            <w:r>
              <w:rPr>
                <w:rFonts w:hint="eastAsia" w:asciiTheme="minorEastAsia" w:hAnsiTheme="minorEastAsia" w:eastAsiaTheme="minorEastAsia" w:cstheme="minorEastAsia"/>
                <w:color w:val="auto"/>
                <w:kern w:val="0"/>
                <w:sz w:val="24"/>
                <w:szCs w:val="24"/>
                <w:lang w:val="zh-CN"/>
              </w:rPr>
              <w:t>电线</w:t>
            </w:r>
          </w:p>
        </w:tc>
        <w:tc>
          <w:tcPr>
            <w:tcW w:w="4624"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color w:val="auto"/>
                <w:kern w:val="0"/>
                <w:sz w:val="24"/>
                <w:szCs w:val="24"/>
                <w:lang w:val="zh-CN" w:eastAsia="zh-CN" w:bidi="ar-SA"/>
              </w:rPr>
            </w:pPr>
            <w:r>
              <w:rPr>
                <w:rFonts w:hint="eastAsia" w:asciiTheme="minorEastAsia" w:hAnsiTheme="minorEastAsia" w:eastAsiaTheme="minorEastAsia" w:cstheme="minorEastAsia"/>
                <w:color w:val="auto"/>
                <w:sz w:val="24"/>
                <w:szCs w:val="24"/>
                <w:lang w:val="zh-CN"/>
              </w:rPr>
              <w:t>威尔鹰/欧美/兴乐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gridBefore w:val="1"/>
          <w:wBefore w:w="10" w:type="dxa"/>
          <w:trHeight w:val="500" w:hRule="atLeast"/>
        </w:trPr>
        <w:tc>
          <w:tcPr>
            <w:tcW w:w="7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2</w:t>
            </w:r>
          </w:p>
        </w:tc>
        <w:tc>
          <w:tcPr>
            <w:tcW w:w="2756"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color w:val="auto"/>
                <w:kern w:val="0"/>
                <w:sz w:val="24"/>
                <w:szCs w:val="24"/>
                <w:lang w:val="zh-CN" w:eastAsia="zh-CN" w:bidi="ar-SA"/>
              </w:rPr>
            </w:pPr>
            <w:r>
              <w:rPr>
                <w:rFonts w:hint="eastAsia" w:asciiTheme="minorEastAsia" w:hAnsiTheme="minorEastAsia" w:eastAsiaTheme="minorEastAsia" w:cstheme="minorEastAsia"/>
                <w:color w:val="auto"/>
                <w:kern w:val="0"/>
                <w:sz w:val="24"/>
                <w:szCs w:val="24"/>
                <w:lang w:val="zh-CN"/>
              </w:rPr>
              <w:t>PPR给水管、PVC电线管</w:t>
            </w:r>
          </w:p>
        </w:tc>
        <w:tc>
          <w:tcPr>
            <w:tcW w:w="4624" w:type="dxa"/>
            <w:gridSpan w:val="2"/>
            <w:tcBorders>
              <w:top w:val="single" w:color="000000" w:sz="4" w:space="0"/>
              <w:left w:val="nil"/>
              <w:bottom w:val="single" w:color="000000" w:sz="4" w:space="0"/>
              <w:right w:val="single" w:color="000000" w:sz="4" w:space="0"/>
              <w:tl2br w:val="nil"/>
              <w:tr2bl w:val="nil"/>
            </w:tcBorders>
            <w:shd w:val="clear" w:color="auto" w:fill="FFFFFF"/>
            <w:noWrap w:val="0"/>
            <w:vAlign w:val="center"/>
          </w:tcPr>
          <w:p>
            <w:pPr>
              <w:spacing w:beforeLines="0" w:afterLines="0"/>
              <w:jc w:val="center"/>
              <w:rPr>
                <w:rFonts w:hint="eastAsia" w:asciiTheme="minorEastAsia" w:hAnsiTheme="minorEastAsia" w:eastAsiaTheme="minorEastAsia" w:cstheme="minorEastAsia"/>
                <w:color w:val="auto"/>
                <w:kern w:val="0"/>
                <w:sz w:val="24"/>
                <w:szCs w:val="24"/>
                <w:lang w:val="zh-CN" w:eastAsia="zh-CN" w:bidi="ar-SA"/>
              </w:rPr>
            </w:pPr>
            <w:r>
              <w:rPr>
                <w:rFonts w:hint="eastAsia" w:asciiTheme="minorEastAsia" w:hAnsiTheme="minorEastAsia" w:eastAsiaTheme="minorEastAsia" w:cstheme="minorEastAsia"/>
                <w:color w:val="auto"/>
                <w:kern w:val="0"/>
                <w:sz w:val="24"/>
                <w:szCs w:val="24"/>
                <w:lang w:val="zh-CN"/>
              </w:rPr>
              <w:t>顺达/中财/公元</w:t>
            </w:r>
          </w:p>
        </w:tc>
      </w:tr>
    </w:tbl>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pStyle w:val="2"/>
        <w:rPr>
          <w:rFonts w:hint="eastAsia" w:asciiTheme="minorEastAsia" w:hAnsiTheme="minorEastAsia" w:eastAsiaTheme="minorEastAsia" w:cstheme="minorEastAsia"/>
          <w:sz w:val="30"/>
          <w:szCs w:val="30"/>
          <w:lang w:val="en-US" w:eastAsia="zh-CN"/>
        </w:rPr>
      </w:pPr>
    </w:p>
    <w:p>
      <w:pPr>
        <w:numPr>
          <w:ilvl w:val="0"/>
          <w:numId w:val="0"/>
        </w:numPr>
        <w:spacing w:beforeLines="0" w:afterLines="0"/>
        <w:jc w:val="both"/>
        <w:rPr>
          <w:rFonts w:hint="default" w:asciiTheme="minorEastAsia" w:hAnsiTheme="minorEastAsia" w:eastAsiaTheme="minorEastAsia" w:cstheme="minorEastAsia"/>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446416"/>
    <w:multiLevelType w:val="singleLevel"/>
    <w:tmpl w:val="4F446416"/>
    <w:lvl w:ilvl="0" w:tentative="0">
      <w:start w:val="1"/>
      <w:numFmt w:val="decimal"/>
      <w:suff w:val="nothing"/>
      <w:lvlText w:val="%1、"/>
      <w:lvlJc w:val="left"/>
    </w:lvl>
  </w:abstractNum>
  <w:abstractNum w:abstractNumId="1">
    <w:nsid w:val="7EA59A31"/>
    <w:multiLevelType w:val="singleLevel"/>
    <w:tmpl w:val="7EA59A3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NDUyNmJkYzc4OTk5OTM5YWEyZjA1MWM0YWNmMzMifQ=="/>
  </w:docVars>
  <w:rsids>
    <w:rsidRoot w:val="00172A27"/>
    <w:rsid w:val="05ED157C"/>
    <w:rsid w:val="06746357"/>
    <w:rsid w:val="069468A4"/>
    <w:rsid w:val="078B2EFB"/>
    <w:rsid w:val="0B890DAC"/>
    <w:rsid w:val="0BBE5585"/>
    <w:rsid w:val="0F7251D8"/>
    <w:rsid w:val="19137AFC"/>
    <w:rsid w:val="1D18739D"/>
    <w:rsid w:val="1EBB6C6C"/>
    <w:rsid w:val="1FF74112"/>
    <w:rsid w:val="23323D1C"/>
    <w:rsid w:val="237613B4"/>
    <w:rsid w:val="23A9335F"/>
    <w:rsid w:val="24764FA5"/>
    <w:rsid w:val="268D7EDE"/>
    <w:rsid w:val="27E524B1"/>
    <w:rsid w:val="2992507F"/>
    <w:rsid w:val="2CB87F50"/>
    <w:rsid w:val="2F1C4086"/>
    <w:rsid w:val="2F8A4592"/>
    <w:rsid w:val="307400A7"/>
    <w:rsid w:val="30FA3D28"/>
    <w:rsid w:val="326E2E44"/>
    <w:rsid w:val="33483478"/>
    <w:rsid w:val="338A5A30"/>
    <w:rsid w:val="378149E9"/>
    <w:rsid w:val="37CF297B"/>
    <w:rsid w:val="380A6843"/>
    <w:rsid w:val="3A5B4ACC"/>
    <w:rsid w:val="3AB0236F"/>
    <w:rsid w:val="3B7301CC"/>
    <w:rsid w:val="3C370996"/>
    <w:rsid w:val="3CFB6A27"/>
    <w:rsid w:val="415B67AA"/>
    <w:rsid w:val="4236247E"/>
    <w:rsid w:val="43BD2289"/>
    <w:rsid w:val="43E0455D"/>
    <w:rsid w:val="47AE55BC"/>
    <w:rsid w:val="498E2275"/>
    <w:rsid w:val="4CE524B5"/>
    <w:rsid w:val="4D783004"/>
    <w:rsid w:val="51311F1B"/>
    <w:rsid w:val="55B15AD4"/>
    <w:rsid w:val="57E91B79"/>
    <w:rsid w:val="57F66044"/>
    <w:rsid w:val="59A140A8"/>
    <w:rsid w:val="5CC46421"/>
    <w:rsid w:val="5E883891"/>
    <w:rsid w:val="61DB18A1"/>
    <w:rsid w:val="62396339"/>
    <w:rsid w:val="63501962"/>
    <w:rsid w:val="652F74EC"/>
    <w:rsid w:val="68736931"/>
    <w:rsid w:val="69B66101"/>
    <w:rsid w:val="6BE518A6"/>
    <w:rsid w:val="6D9277CE"/>
    <w:rsid w:val="6F19477F"/>
    <w:rsid w:val="6F5D6B8D"/>
    <w:rsid w:val="726E0AA8"/>
    <w:rsid w:val="78975871"/>
    <w:rsid w:val="78EF46BD"/>
    <w:rsid w:val="79B80F53"/>
    <w:rsid w:val="79C55B4A"/>
    <w:rsid w:val="7A684727"/>
    <w:rsid w:val="7E087DC0"/>
    <w:rsid w:val="7E582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line="300" w:lineRule="exact"/>
      <w:ind w:left="90" w:leftChars="43" w:right="25" w:rightChars="12" w:firstLine="480" w:firstLineChars="200"/>
    </w:pPr>
    <w:rPr>
      <w:rFonts w:ascii="仿宋_GB2312" w:hAnsi="宋体" w:eastAsia="仿宋_GB2312"/>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1358</Words>
  <Characters>1577</Characters>
  <Lines>0</Lines>
  <Paragraphs>0</Paragraphs>
  <TotalTime>13</TotalTime>
  <ScaleCrop>false</ScaleCrop>
  <LinksUpToDate>false</LinksUpToDate>
  <CharactersWithSpaces>1599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郭尼玛</cp:lastModifiedBy>
  <dcterms:modified xsi:type="dcterms:W3CDTF">2023-05-22T02:37:21Z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2C96931E1FB24A16BD3248D9C8FE233E</vt:lpwstr>
  </property>
</Properties>
</file>